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360" w:lineRule="auto"/>
        <w:rPr>
          <w:rFonts w:hint="eastAsia" w:ascii="黑体" w:hAnsi="黑体" w:eastAsia="黑体"/>
          <w:sz w:val="32"/>
          <w:szCs w:val="32"/>
          <w:lang w:val="en-US" w:eastAsia="zh-CN"/>
        </w:rPr>
      </w:pPr>
      <w:r>
        <w:rPr>
          <w:rFonts w:hint="eastAsia" w:ascii="黑体" w:hAnsi="黑体" w:eastAsia="黑体"/>
          <w:sz w:val="32"/>
          <w:szCs w:val="32"/>
        </w:rPr>
        <w:t>附</w:t>
      </w:r>
      <w:r>
        <w:rPr>
          <w:rFonts w:hint="eastAsia" w:ascii="黑体" w:hAnsi="黑体" w:eastAsia="黑体"/>
          <w:sz w:val="32"/>
          <w:szCs w:val="32"/>
          <w:lang w:val="en-US" w:eastAsia="zh-CN"/>
        </w:rPr>
        <w:t>件１</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2022年</w:t>
      </w:r>
      <w:r>
        <w:rPr>
          <w:rFonts w:hint="eastAsia" w:ascii="方正小标宋简体" w:hAnsi="方正小标宋简体" w:eastAsia="方正小标宋简体" w:cs="方正小标宋简体"/>
          <w:b w:val="0"/>
          <w:bCs/>
          <w:sz w:val="44"/>
          <w:szCs w:val="44"/>
        </w:rPr>
        <w:t>贵州省科普教育基地</w:t>
      </w:r>
      <w:r>
        <w:rPr>
          <w:rFonts w:hint="eastAsia" w:ascii="方正小标宋简体" w:hAnsi="方正小标宋简体" w:eastAsia="方正小标宋简体" w:cs="方正小标宋简体"/>
          <w:b w:val="0"/>
          <w:bCs/>
          <w:sz w:val="44"/>
          <w:szCs w:val="44"/>
          <w:lang w:val="en-US" w:eastAsia="zh-CN"/>
        </w:rPr>
        <w:t>自评</w:t>
      </w:r>
      <w:r>
        <w:rPr>
          <w:rFonts w:hint="eastAsia" w:ascii="方正小标宋简体" w:hAnsi="方正小标宋简体" w:eastAsia="方正小标宋简体" w:cs="方正小标宋简体"/>
          <w:b w:val="0"/>
          <w:bCs/>
          <w:sz w:val="44"/>
          <w:szCs w:val="44"/>
        </w:rPr>
        <w:t>表</w:t>
      </w:r>
    </w:p>
    <w:p>
      <w:pPr>
        <w:jc w:val="left"/>
        <w:rPr>
          <w:rFonts w:hint="eastAsia" w:ascii="仿宋_GB2312" w:hAnsi="仿宋_GB2312" w:eastAsia="仿宋_GB2312" w:cs="仿宋_GB2312"/>
          <w:b w:val="0"/>
          <w:bCs/>
          <w:sz w:val="44"/>
          <w:szCs w:val="44"/>
          <w:lang w:val="en-US"/>
        </w:rPr>
      </w:pPr>
      <w:r>
        <w:rPr>
          <w:rFonts w:hint="eastAsia" w:ascii="仿宋_GB2312" w:hAnsi="仿宋_GB2312" w:eastAsia="仿宋_GB2312" w:cs="仿宋_GB2312"/>
          <w:sz w:val="28"/>
          <w:szCs w:val="28"/>
          <w:lang w:eastAsia="zh-CN"/>
        </w:rPr>
        <w:t>填报</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遵义市科技馆        </w:t>
      </w:r>
      <w:r>
        <w:rPr>
          <w:rFonts w:hint="eastAsia" w:ascii="仿宋_GB2312" w:hAnsi="仿宋_GB2312" w:eastAsia="仿宋_GB2312" w:cs="仿宋_GB2312"/>
          <w:sz w:val="28"/>
          <w:szCs w:val="28"/>
          <w:u w:val="none"/>
          <w:lang w:val="en-US" w:eastAsia="zh-CN"/>
        </w:rPr>
        <w:t>联系人及电话：鲁志燕 27579172</w:t>
      </w:r>
    </w:p>
    <w:tbl>
      <w:tblPr>
        <w:tblStyle w:val="3"/>
        <w:tblW w:w="9720" w:type="dxa"/>
        <w:jc w:val="center"/>
        <w:tblLayout w:type="fixed"/>
        <w:tblCellMar>
          <w:top w:w="0" w:type="dxa"/>
          <w:left w:w="108" w:type="dxa"/>
          <w:bottom w:w="0" w:type="dxa"/>
          <w:right w:w="108" w:type="dxa"/>
        </w:tblCellMar>
      </w:tblPr>
      <w:tblGrid>
        <w:gridCol w:w="1456"/>
        <w:gridCol w:w="342"/>
        <w:gridCol w:w="1443"/>
        <w:gridCol w:w="572"/>
        <w:gridCol w:w="639"/>
        <w:gridCol w:w="1038"/>
        <w:gridCol w:w="1040"/>
        <w:gridCol w:w="924"/>
        <w:gridCol w:w="729"/>
        <w:gridCol w:w="539"/>
        <w:gridCol w:w="998"/>
      </w:tblGrid>
      <w:tr>
        <w:tblPrEx>
          <w:tblCellMar>
            <w:top w:w="0" w:type="dxa"/>
            <w:left w:w="108" w:type="dxa"/>
            <w:bottom w:w="0" w:type="dxa"/>
            <w:right w:w="108" w:type="dxa"/>
          </w:tblCellMar>
        </w:tblPrEx>
        <w:trPr>
          <w:cantSplit/>
          <w:trHeight w:val="60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基地名称</w:t>
            </w:r>
          </w:p>
        </w:tc>
        <w:tc>
          <w:tcPr>
            <w:tcW w:w="4732" w:type="dxa"/>
            <w:gridSpan w:val="5"/>
            <w:tcBorders>
              <w:top w:val="single" w:color="auto" w:sz="4" w:space="0"/>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遵义市科技馆</w:t>
            </w:r>
          </w:p>
        </w:tc>
        <w:tc>
          <w:tcPr>
            <w:tcW w:w="16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责</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w:t>
            </w:r>
          </w:p>
        </w:tc>
        <w:tc>
          <w:tcPr>
            <w:tcW w:w="153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邱会涛</w:t>
            </w:r>
          </w:p>
        </w:tc>
      </w:tr>
      <w:tr>
        <w:tblPrEx>
          <w:tblCellMar>
            <w:top w:w="0" w:type="dxa"/>
            <w:left w:w="108" w:type="dxa"/>
            <w:bottom w:w="0" w:type="dxa"/>
            <w:right w:w="108" w:type="dxa"/>
          </w:tblCellMar>
        </w:tblPrEx>
        <w:trPr>
          <w:cantSplit/>
          <w:trHeight w:val="599"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通讯地址</w:t>
            </w:r>
          </w:p>
        </w:tc>
        <w:tc>
          <w:tcPr>
            <w:tcW w:w="473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遵义市新蒲新区科技路</w:t>
            </w:r>
          </w:p>
        </w:tc>
        <w:tc>
          <w:tcPr>
            <w:tcW w:w="16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z w:val="28"/>
                <w:szCs w:val="28"/>
              </w:rPr>
              <w:t>邮政编码</w:t>
            </w:r>
          </w:p>
        </w:tc>
        <w:tc>
          <w:tcPr>
            <w:tcW w:w="153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563000</w:t>
            </w:r>
          </w:p>
        </w:tc>
      </w:tr>
      <w:tr>
        <w:tblPrEx>
          <w:tblCellMar>
            <w:top w:w="0" w:type="dxa"/>
            <w:left w:w="108" w:type="dxa"/>
            <w:bottom w:w="0" w:type="dxa"/>
            <w:right w:w="108" w:type="dxa"/>
          </w:tblCellMar>
        </w:tblPrEx>
        <w:trPr>
          <w:cantSplit/>
          <w:trHeight w:val="58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科普分管部门</w:t>
            </w:r>
          </w:p>
        </w:tc>
        <w:tc>
          <w:tcPr>
            <w:tcW w:w="14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展敎部</w:t>
            </w:r>
          </w:p>
        </w:tc>
        <w:tc>
          <w:tcPr>
            <w:tcW w:w="121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0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杨丹</w:t>
            </w:r>
          </w:p>
        </w:tc>
        <w:tc>
          <w:tcPr>
            <w:tcW w:w="16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传真电话</w:t>
            </w:r>
          </w:p>
        </w:tc>
        <w:tc>
          <w:tcPr>
            <w:tcW w:w="153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571"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4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1680" w:firstLineChars="600"/>
              <w:jc w:val="center"/>
              <w:textAlignment w:val="auto"/>
              <w:rPr>
                <w:rFonts w:hint="eastAsia" w:ascii="仿宋_GB2312" w:hAnsi="仿宋_GB2312" w:eastAsia="仿宋_GB2312" w:cs="仿宋_GB2312"/>
                <w:sz w:val="28"/>
                <w:szCs w:val="28"/>
              </w:rPr>
            </w:pPr>
          </w:p>
        </w:tc>
        <w:tc>
          <w:tcPr>
            <w:tcW w:w="121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联系电话</w:t>
            </w:r>
          </w:p>
        </w:tc>
        <w:tc>
          <w:tcPr>
            <w:tcW w:w="20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223"/>
                <w:tab w:val="left" w:pos="253"/>
              </w:tabs>
              <w:kinsoku/>
              <w:wordWrap/>
              <w:overflowPunct/>
              <w:topLinePunct w:val="0"/>
              <w:autoSpaceDE/>
              <w:autoSpaceDN/>
              <w:bidi w:val="0"/>
              <w:adjustRightInd/>
              <w:snapToGrid w:val="0"/>
              <w:spacing w:line="240" w:lineRule="auto"/>
              <w:ind w:firstLine="1680" w:firstLineChars="600"/>
              <w:jc w:val="left"/>
              <w:textAlignment w:val="auto"/>
              <w:rPr>
                <w:rFonts w:hint="eastAsia" w:ascii="仿宋_GB2312" w:hAnsi="仿宋_GB2312" w:eastAsia="仿宋_GB2312" w:cs="仿宋_GB2312"/>
                <w:sz w:val="28"/>
                <w:szCs w:val="28"/>
                <w:lang w:val="en-US" w:eastAsia="zh-CN"/>
              </w:rPr>
            </w:pPr>
          </w:p>
          <w:p>
            <w:pPr>
              <w:keepNext w:val="0"/>
              <w:keepLines w:val="0"/>
              <w:pageBreakBefore w:val="0"/>
              <w:tabs>
                <w:tab w:val="left" w:pos="223"/>
                <w:tab w:val="left" w:pos="253"/>
              </w:tabs>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5186741899</w:t>
            </w:r>
            <w:r>
              <w:rPr>
                <w:rFonts w:hint="eastAsia" w:ascii="仿宋_GB2312" w:hAnsi="仿宋_GB2312" w:eastAsia="仿宋_GB2312" w:cs="仿宋_GB2312"/>
                <w:sz w:val="28"/>
                <w:szCs w:val="28"/>
                <w:lang w:eastAsia="zh-CN"/>
              </w:rPr>
              <w:tab/>
            </w:r>
            <w:r>
              <w:rPr>
                <w:rFonts w:hint="eastAsia" w:ascii="仿宋_GB2312" w:hAnsi="仿宋_GB2312" w:eastAsia="仿宋_GB2312" w:cs="仿宋_GB2312"/>
                <w:sz w:val="28"/>
                <w:szCs w:val="28"/>
                <w:lang w:eastAsia="zh-CN"/>
              </w:rPr>
              <w:tab/>
            </w:r>
            <w:r>
              <w:rPr>
                <w:rFonts w:hint="eastAsia" w:ascii="仿宋_GB2312" w:hAnsi="仿宋_GB2312" w:eastAsia="仿宋_GB2312" w:cs="仿宋_GB2312"/>
                <w:sz w:val="28"/>
                <w:szCs w:val="28"/>
                <w:lang w:eastAsia="zh-CN"/>
              </w:rPr>
              <w:tab/>
            </w:r>
          </w:p>
        </w:tc>
        <w:tc>
          <w:tcPr>
            <w:tcW w:w="16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53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2017.12</w:t>
            </w:r>
          </w:p>
        </w:tc>
      </w:tr>
      <w:tr>
        <w:tblPrEx>
          <w:tblCellMar>
            <w:top w:w="0" w:type="dxa"/>
            <w:left w:w="108" w:type="dxa"/>
            <w:bottom w:w="0" w:type="dxa"/>
            <w:right w:w="108" w:type="dxa"/>
          </w:tblCellMar>
        </w:tblPrEx>
        <w:trPr>
          <w:cantSplit/>
          <w:trHeight w:val="613" w:hRule="atLeast"/>
          <w:jc w:val="center"/>
        </w:trPr>
        <w:tc>
          <w:tcPr>
            <w:tcW w:w="972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科普教育基地</w:t>
            </w:r>
            <w:r>
              <w:rPr>
                <w:rFonts w:hint="eastAsia" w:ascii="仿宋_GB2312" w:hAnsi="仿宋_GB2312" w:eastAsia="仿宋_GB2312" w:cs="仿宋_GB2312"/>
                <w:sz w:val="28"/>
                <w:szCs w:val="28"/>
              </w:rPr>
              <w:t>类型：</w:t>
            </w:r>
            <w:r>
              <w:rPr>
                <w:rFonts w:hint="eastAsia" w:ascii="仿宋_GB2312" w:hAnsi="仿宋_GB2312" w:eastAsia="仿宋_GB2312" w:cs="仿宋_GB2312"/>
                <w:sz w:val="28"/>
                <w:szCs w:val="28"/>
                <w:lang w:val="en-US" w:eastAsia="zh-CN"/>
              </w:rPr>
              <w:t>科普场馆</w:t>
            </w:r>
          </w:p>
        </w:tc>
      </w:tr>
      <w:tr>
        <w:tblPrEx>
          <w:tblCellMar>
            <w:top w:w="0" w:type="dxa"/>
            <w:left w:w="108" w:type="dxa"/>
            <w:bottom w:w="0" w:type="dxa"/>
            <w:right w:w="108" w:type="dxa"/>
          </w:tblCellMar>
        </w:tblPrEx>
        <w:trPr>
          <w:cantSplit/>
          <w:trHeight w:val="583"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pacing w:val="-24"/>
                <w:sz w:val="28"/>
                <w:szCs w:val="28"/>
              </w:rPr>
              <w:t>上级主管部门</w:t>
            </w:r>
          </w:p>
        </w:tc>
        <w:tc>
          <w:tcPr>
            <w:tcW w:w="7922"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遵义市科学技术协会</w:t>
            </w:r>
          </w:p>
        </w:tc>
      </w:tr>
      <w:tr>
        <w:tblPrEx>
          <w:tblCellMar>
            <w:top w:w="0" w:type="dxa"/>
            <w:left w:w="108" w:type="dxa"/>
            <w:bottom w:w="0" w:type="dxa"/>
            <w:right w:w="108" w:type="dxa"/>
          </w:tblCellMar>
        </w:tblPrEx>
        <w:trPr>
          <w:cantSplit/>
          <w:trHeight w:val="560"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8"/>
                <w:sz w:val="28"/>
                <w:szCs w:val="28"/>
              </w:rPr>
            </w:pPr>
            <w:r>
              <w:rPr>
                <w:rFonts w:hint="eastAsia" w:ascii="仿宋_GB2312" w:hAnsi="仿宋_GB2312" w:eastAsia="仿宋_GB2312" w:cs="仿宋_GB2312"/>
                <w:sz w:val="28"/>
                <w:szCs w:val="28"/>
              </w:rPr>
              <w:t>行业类别</w:t>
            </w:r>
          </w:p>
        </w:tc>
        <w:tc>
          <w:tcPr>
            <w:tcW w:w="20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8"/>
                <w:sz w:val="28"/>
                <w:szCs w:val="28"/>
                <w:lang w:val="en-US" w:eastAsia="zh-CN"/>
              </w:rPr>
            </w:pPr>
            <w:r>
              <w:rPr>
                <w:rFonts w:hint="eastAsia" w:ascii="仿宋_GB2312" w:hAnsi="仿宋_GB2312" w:eastAsia="仿宋_GB2312" w:cs="仿宋_GB2312"/>
                <w:spacing w:val="-28"/>
                <w:sz w:val="28"/>
                <w:szCs w:val="28"/>
                <w:lang w:val="en-US" w:eastAsia="zh-CN"/>
              </w:rPr>
              <w:t>公益</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8"/>
                <w:sz w:val="28"/>
                <w:szCs w:val="28"/>
              </w:rPr>
            </w:pPr>
            <w:r>
              <w:rPr>
                <w:rFonts w:hint="eastAsia" w:ascii="仿宋_GB2312" w:hAnsi="仿宋_GB2312" w:eastAsia="仿宋_GB2312" w:cs="仿宋_GB2312"/>
                <w:sz w:val="28"/>
                <w:szCs w:val="28"/>
              </w:rPr>
              <w:t>单位性质</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8"/>
                <w:sz w:val="28"/>
                <w:szCs w:val="28"/>
                <w:lang w:val="en-US" w:eastAsia="zh-CN"/>
              </w:rPr>
            </w:pPr>
            <w:r>
              <w:rPr>
                <w:rFonts w:hint="eastAsia" w:ascii="仿宋_GB2312" w:hAnsi="仿宋_GB2312" w:eastAsia="仿宋_GB2312" w:cs="仿宋_GB2312"/>
                <w:spacing w:val="-28"/>
                <w:sz w:val="28"/>
                <w:szCs w:val="28"/>
                <w:lang w:val="en-US" w:eastAsia="zh-CN"/>
              </w:rPr>
              <w:t>事业</w:t>
            </w:r>
          </w:p>
        </w:tc>
        <w:tc>
          <w:tcPr>
            <w:tcW w:w="21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8"/>
                <w:sz w:val="28"/>
                <w:szCs w:val="28"/>
              </w:rPr>
            </w:pPr>
            <w:r>
              <w:rPr>
                <w:rFonts w:hint="eastAsia" w:ascii="仿宋_GB2312" w:hAnsi="仿宋_GB2312" w:eastAsia="仿宋_GB2312" w:cs="仿宋_GB2312"/>
                <w:spacing w:val="-28"/>
                <w:sz w:val="28"/>
                <w:szCs w:val="28"/>
              </w:rPr>
              <w:t>宣传栏（总长/米）</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r>
      <w:tr>
        <w:tblPrEx>
          <w:tblCellMar>
            <w:top w:w="0" w:type="dxa"/>
            <w:left w:w="108" w:type="dxa"/>
            <w:bottom w:w="0" w:type="dxa"/>
            <w:right w:w="108" w:type="dxa"/>
          </w:tblCellMar>
        </w:tblPrEx>
        <w:trPr>
          <w:cantSplit/>
          <w:trHeight w:val="593"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占地面积</w:t>
            </w:r>
            <w:r>
              <w:rPr>
                <w:rFonts w:hint="eastAsia" w:ascii="仿宋_GB2312" w:hAnsi="仿宋_GB2312" w:eastAsia="仿宋_GB2312" w:cs="仿宋_GB2312"/>
                <w:spacing w:val="-24"/>
                <w:sz w:val="28"/>
                <w:szCs w:val="28"/>
              </w:rPr>
              <w:t>(m</w:t>
            </w:r>
            <w:r>
              <w:rPr>
                <w:rFonts w:hint="eastAsia" w:ascii="仿宋_GB2312" w:hAnsi="仿宋_GB2312" w:eastAsia="仿宋_GB2312" w:cs="仿宋_GB2312"/>
                <w:spacing w:val="-24"/>
                <w:sz w:val="28"/>
                <w:szCs w:val="28"/>
                <w:vertAlign w:val="superscript"/>
              </w:rPr>
              <w:t>2</w:t>
            </w:r>
            <w:r>
              <w:rPr>
                <w:rFonts w:hint="eastAsia" w:ascii="仿宋_GB2312" w:hAnsi="仿宋_GB2312" w:eastAsia="仿宋_GB2312" w:cs="仿宋_GB2312"/>
                <w:spacing w:val="-24"/>
                <w:sz w:val="28"/>
                <w:szCs w:val="28"/>
              </w:rPr>
              <w:t>)</w:t>
            </w:r>
          </w:p>
        </w:tc>
        <w:tc>
          <w:tcPr>
            <w:tcW w:w="20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26268.21</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pacing w:val="-24"/>
                <w:sz w:val="28"/>
                <w:szCs w:val="28"/>
              </w:rPr>
              <w:t>建筑面积(m</w:t>
            </w:r>
            <w:r>
              <w:rPr>
                <w:rFonts w:hint="eastAsia" w:ascii="仿宋_GB2312" w:hAnsi="仿宋_GB2312" w:eastAsia="仿宋_GB2312" w:cs="仿宋_GB2312"/>
                <w:spacing w:val="-24"/>
                <w:sz w:val="28"/>
                <w:szCs w:val="28"/>
                <w:vertAlign w:val="superscript"/>
              </w:rPr>
              <w:t>2</w:t>
            </w:r>
            <w:r>
              <w:rPr>
                <w:rFonts w:hint="eastAsia" w:ascii="仿宋_GB2312" w:hAnsi="仿宋_GB2312" w:eastAsia="仿宋_GB2312" w:cs="仿宋_GB2312"/>
                <w:spacing w:val="-24"/>
                <w:sz w:val="28"/>
                <w:szCs w:val="28"/>
              </w:rPr>
              <w:t>)</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lang w:val="en-US" w:eastAsia="zh-CN"/>
              </w:rPr>
            </w:pPr>
            <w:r>
              <w:rPr>
                <w:rFonts w:hint="eastAsia" w:ascii="仿宋_GB2312" w:hAnsi="仿宋_GB2312" w:eastAsia="仿宋_GB2312" w:cs="仿宋_GB2312"/>
                <w:spacing w:val="-24"/>
                <w:sz w:val="28"/>
                <w:szCs w:val="28"/>
                <w:lang w:val="en-US" w:eastAsia="zh-CN"/>
              </w:rPr>
              <w:t>18500</w:t>
            </w:r>
          </w:p>
        </w:tc>
        <w:tc>
          <w:tcPr>
            <w:tcW w:w="21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pacing w:val="-28"/>
                <w:sz w:val="28"/>
                <w:szCs w:val="28"/>
              </w:rPr>
              <w:t>科普展示面积(m</w:t>
            </w:r>
            <w:r>
              <w:rPr>
                <w:rFonts w:hint="eastAsia" w:ascii="仿宋_GB2312" w:hAnsi="仿宋_GB2312" w:eastAsia="仿宋_GB2312" w:cs="仿宋_GB2312"/>
                <w:spacing w:val="-28"/>
                <w:sz w:val="28"/>
                <w:szCs w:val="28"/>
                <w:vertAlign w:val="superscript"/>
              </w:rPr>
              <w:t>2</w:t>
            </w:r>
            <w:r>
              <w:rPr>
                <w:rFonts w:hint="eastAsia" w:ascii="仿宋_GB2312" w:hAnsi="仿宋_GB2312" w:eastAsia="仿宋_GB2312" w:cs="仿宋_GB2312"/>
                <w:spacing w:val="-28"/>
                <w:sz w:val="28"/>
                <w:szCs w:val="28"/>
              </w:rPr>
              <w:t>)</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11000</w:t>
            </w:r>
          </w:p>
        </w:tc>
      </w:tr>
      <w:tr>
        <w:tblPrEx>
          <w:tblCellMar>
            <w:top w:w="0" w:type="dxa"/>
            <w:left w:w="108" w:type="dxa"/>
            <w:bottom w:w="0" w:type="dxa"/>
            <w:right w:w="108" w:type="dxa"/>
          </w:tblCellMar>
        </w:tblPrEx>
        <w:trPr>
          <w:cantSplit/>
          <w:trHeight w:val="608"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员工总数</w:t>
            </w:r>
          </w:p>
        </w:tc>
        <w:tc>
          <w:tcPr>
            <w:tcW w:w="20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8"/>
                <w:sz w:val="28"/>
                <w:szCs w:val="28"/>
              </w:rPr>
            </w:pPr>
            <w:r>
              <w:rPr>
                <w:rFonts w:hint="eastAsia" w:ascii="仿宋_GB2312" w:hAnsi="仿宋_GB2312" w:eastAsia="仿宋_GB2312" w:cs="仿宋_GB2312"/>
                <w:spacing w:val="-24"/>
                <w:sz w:val="28"/>
                <w:szCs w:val="28"/>
              </w:rPr>
              <w:t>科普专职人员</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21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z w:val="28"/>
                <w:szCs w:val="28"/>
              </w:rPr>
              <w:t>科普兼职人员</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r>
      <w:tr>
        <w:tblPrEx>
          <w:tblCellMar>
            <w:top w:w="0" w:type="dxa"/>
            <w:left w:w="108" w:type="dxa"/>
            <w:bottom w:w="0" w:type="dxa"/>
            <w:right w:w="108" w:type="dxa"/>
          </w:tblCellMar>
        </w:tblPrEx>
        <w:trPr>
          <w:cantSplit/>
          <w:trHeight w:val="655" w:hRule="atLeast"/>
          <w:jc w:val="center"/>
        </w:trPr>
        <w:tc>
          <w:tcPr>
            <w:tcW w:w="3813" w:type="dxa"/>
            <w:gridSpan w:val="4"/>
            <w:tcBorders>
              <w:top w:val="nil"/>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年经营性收入（万元）</w:t>
            </w:r>
          </w:p>
        </w:tc>
        <w:tc>
          <w:tcPr>
            <w:tcW w:w="1677" w:type="dxa"/>
            <w:gridSpan w:val="2"/>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lang w:val="en-US" w:eastAsia="zh-CN"/>
              </w:rPr>
            </w:pPr>
            <w:r>
              <w:rPr>
                <w:rFonts w:hint="eastAsia" w:ascii="仿宋_GB2312" w:hAnsi="仿宋_GB2312" w:eastAsia="仿宋_GB2312" w:cs="仿宋_GB2312"/>
                <w:spacing w:val="-24"/>
                <w:sz w:val="28"/>
                <w:szCs w:val="28"/>
                <w:lang w:val="en-US" w:eastAsia="zh-CN"/>
              </w:rPr>
              <w:t>0</w:t>
            </w:r>
          </w:p>
        </w:tc>
        <w:tc>
          <w:tcPr>
            <w:tcW w:w="3232" w:type="dxa"/>
            <w:gridSpan w:val="4"/>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72"/>
              <w:jc w:val="center"/>
              <w:textAlignment w:val="auto"/>
              <w:rPr>
                <w:rFonts w:hint="eastAsia" w:ascii="仿宋_GB2312" w:hAnsi="仿宋_GB2312" w:eastAsia="仿宋_GB2312" w:cs="仿宋_GB2312"/>
                <w:spacing w:val="-24"/>
                <w:sz w:val="28"/>
                <w:szCs w:val="28"/>
              </w:rPr>
            </w:pPr>
            <w:r>
              <w:rPr>
                <w:rFonts w:hint="eastAsia" w:ascii="仿宋_GB2312" w:hAnsi="仿宋_GB2312" w:eastAsia="仿宋_GB2312" w:cs="仿宋_GB2312"/>
                <w:spacing w:val="-24"/>
                <w:sz w:val="28"/>
                <w:szCs w:val="28"/>
                <w:lang w:val="en-US" w:eastAsia="zh-CN"/>
              </w:rPr>
              <w:t>2022</w:t>
            </w:r>
            <w:r>
              <w:rPr>
                <w:rFonts w:hint="eastAsia" w:ascii="仿宋_GB2312" w:hAnsi="仿宋_GB2312" w:eastAsia="仿宋_GB2312" w:cs="仿宋_GB2312"/>
                <w:spacing w:val="-24"/>
                <w:sz w:val="28"/>
                <w:szCs w:val="28"/>
              </w:rPr>
              <w:t>年科普经费支出（万元）</w:t>
            </w:r>
          </w:p>
        </w:tc>
        <w:tc>
          <w:tcPr>
            <w:tcW w:w="998" w:type="dxa"/>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4"/>
                <w:sz w:val="28"/>
                <w:szCs w:val="28"/>
                <w:lang w:val="en-US" w:eastAsia="zh-CN"/>
              </w:rPr>
            </w:pPr>
            <w:r>
              <w:rPr>
                <w:rFonts w:hint="eastAsia" w:ascii="仿宋_GB2312" w:hAnsi="仿宋_GB2312" w:eastAsia="仿宋_GB2312" w:cs="仿宋_GB2312"/>
                <w:spacing w:val="-24"/>
                <w:sz w:val="28"/>
                <w:szCs w:val="28"/>
                <w:lang w:val="en-US" w:eastAsia="zh-CN"/>
              </w:rPr>
              <w:t>350</w:t>
            </w:r>
          </w:p>
        </w:tc>
      </w:tr>
      <w:tr>
        <w:tblPrEx>
          <w:tblCellMar>
            <w:top w:w="0" w:type="dxa"/>
            <w:left w:w="108" w:type="dxa"/>
            <w:bottom w:w="0" w:type="dxa"/>
            <w:right w:w="108" w:type="dxa"/>
          </w:tblCellMar>
        </w:tblPrEx>
        <w:trPr>
          <w:cantSplit/>
          <w:trHeight w:val="552" w:hRule="atLeast"/>
          <w:jc w:val="center"/>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科普经费来源</w:t>
            </w:r>
          </w:p>
        </w:tc>
        <w:tc>
          <w:tcPr>
            <w:tcW w:w="23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上级拨款占比例</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1964"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已投入科普设施建设资金（万元）</w:t>
            </w:r>
          </w:p>
        </w:tc>
        <w:tc>
          <w:tcPr>
            <w:tcW w:w="126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科普馆</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cantSplit/>
          <w:trHeight w:val="533"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 w:val="28"/>
                <w:szCs w:val="28"/>
              </w:rPr>
            </w:pPr>
          </w:p>
        </w:tc>
        <w:tc>
          <w:tcPr>
            <w:tcW w:w="23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社会捐助占比例</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1964"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pacing w:val="-20"/>
                <w:sz w:val="28"/>
                <w:szCs w:val="28"/>
              </w:rPr>
            </w:pPr>
          </w:p>
        </w:tc>
        <w:tc>
          <w:tcPr>
            <w:tcW w:w="126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宣传廊</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543"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 w:val="28"/>
                <w:szCs w:val="28"/>
              </w:rPr>
            </w:pPr>
          </w:p>
        </w:tc>
        <w:tc>
          <w:tcPr>
            <w:tcW w:w="23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活动收入占比例</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1964"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pacing w:val="-20"/>
                <w:sz w:val="28"/>
                <w:szCs w:val="28"/>
              </w:rPr>
            </w:pPr>
          </w:p>
        </w:tc>
        <w:tc>
          <w:tcPr>
            <w:tcW w:w="126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  备</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07"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 w:val="28"/>
                <w:szCs w:val="28"/>
              </w:rPr>
            </w:pPr>
          </w:p>
        </w:tc>
        <w:tc>
          <w:tcPr>
            <w:tcW w:w="23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w w:val="100"/>
                <w:sz w:val="28"/>
                <w:szCs w:val="28"/>
              </w:rPr>
              <w:t>经营性投入占比例</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1964"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pacing w:val="-20"/>
                <w:sz w:val="28"/>
                <w:szCs w:val="28"/>
              </w:rPr>
            </w:pPr>
          </w:p>
        </w:tc>
        <w:tc>
          <w:tcPr>
            <w:tcW w:w="126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  料</w:t>
            </w:r>
          </w:p>
        </w:tc>
        <w:tc>
          <w:tcPr>
            <w:tcW w:w="9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88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年开放天数</w:t>
            </w:r>
          </w:p>
        </w:tc>
        <w:tc>
          <w:tcPr>
            <w:tcW w:w="23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248</w:t>
            </w:r>
          </w:p>
        </w:tc>
        <w:tc>
          <w:tcPr>
            <w:tcW w:w="364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560" w:firstLineChars="200"/>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年接纳参观人数</w:t>
            </w:r>
          </w:p>
        </w:tc>
        <w:tc>
          <w:tcPr>
            <w:tcW w:w="226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9.93万</w:t>
            </w:r>
          </w:p>
        </w:tc>
      </w:tr>
      <w:tr>
        <w:tblPrEx>
          <w:tblCellMar>
            <w:top w:w="0" w:type="dxa"/>
            <w:left w:w="108" w:type="dxa"/>
            <w:bottom w:w="0" w:type="dxa"/>
            <w:right w:w="108" w:type="dxa"/>
          </w:tblCellMar>
        </w:tblPrEx>
        <w:trPr>
          <w:cantSplit/>
          <w:trHeight w:val="863" w:hRule="atLeast"/>
          <w:jc w:val="center"/>
        </w:trPr>
        <w:tc>
          <w:tcPr>
            <w:tcW w:w="38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科普宣传教育主要学科领域</w:t>
            </w:r>
          </w:p>
        </w:tc>
        <w:tc>
          <w:tcPr>
            <w:tcW w:w="590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数学、物理、生物、自然科学等</w:t>
            </w:r>
          </w:p>
        </w:tc>
      </w:tr>
      <w:tr>
        <w:tblPrEx>
          <w:tblCellMar>
            <w:top w:w="0" w:type="dxa"/>
            <w:left w:w="108" w:type="dxa"/>
            <w:bottom w:w="0" w:type="dxa"/>
            <w:right w:w="108" w:type="dxa"/>
          </w:tblCellMar>
        </w:tblPrEx>
        <w:trPr>
          <w:cantSplit/>
          <w:trHeight w:val="2757" w:hRule="atLeast"/>
          <w:jc w:val="center"/>
        </w:trPr>
        <w:tc>
          <w:tcPr>
            <w:tcW w:w="972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基本情况简介：（资源条件、科普设施、机构、队伍</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646"/>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caps w:val="0"/>
                <w:color w:val="auto"/>
                <w:spacing w:val="0"/>
                <w:sz w:val="28"/>
                <w:szCs w:val="28"/>
                <w:shd w:val="clear" w:color="auto" w:fill="FFFFFF"/>
              </w:rPr>
              <w:t>遵义市科技馆，是贵州省体量最大的综合性科技场馆，集科普教育、科技展示为一体</w:t>
            </w:r>
            <w:r>
              <w:rPr>
                <w:rFonts w:hint="eastAsia" w:ascii="仿宋_GB2312" w:hAnsi="仿宋_GB2312" w:eastAsia="仿宋_GB2312" w:cs="仿宋_GB2312"/>
                <w:b w:val="0"/>
                <w:bCs w:val="0"/>
                <w:i w:val="0"/>
                <w:iCs w:val="0"/>
                <w:caps w:val="0"/>
                <w:color w:val="auto"/>
                <w:spacing w:val="0"/>
                <w:sz w:val="28"/>
                <w:szCs w:val="28"/>
                <w:shd w:val="clear" w:color="auto" w:fill="FFFFFF"/>
                <w:lang w:eastAsia="zh-CN"/>
              </w:rPr>
              <w:t>。</w:t>
            </w:r>
            <w:r>
              <w:rPr>
                <w:rFonts w:hint="eastAsia" w:ascii="仿宋_GB2312" w:hAnsi="仿宋_GB2312" w:eastAsia="仿宋_GB2312" w:cs="仿宋_GB2312"/>
                <w:b w:val="0"/>
                <w:bCs w:val="0"/>
                <w:i w:val="0"/>
                <w:iCs w:val="0"/>
                <w:caps w:val="0"/>
                <w:color w:val="auto"/>
                <w:spacing w:val="0"/>
                <w:sz w:val="28"/>
                <w:szCs w:val="28"/>
                <w:shd w:val="clear" w:color="auto" w:fill="FFFFFF"/>
              </w:rPr>
              <w:t>目前，馆内有创想工场、儿童科学乐园、地球家园、科技与生活、科学探秘5个常设展厅，布展总面积11000平方米，共330件展品。设有临时展厅、4D和球幕影院、机器人、3D打印、创客、科学影像4个工作室。配备有科学餐厅、科学报告厅，为高质量展教活动提供硬件条件。</w:t>
            </w:r>
            <w:r>
              <w:rPr>
                <w:rFonts w:hint="eastAsia" w:ascii="仿宋_GB2312" w:hAnsi="仿宋_GB2312" w:eastAsia="仿宋_GB2312" w:cs="仿宋_GB2312"/>
                <w:b w:val="0"/>
                <w:bCs w:val="0"/>
                <w:i w:val="0"/>
                <w:iCs w:val="0"/>
                <w:caps w:val="0"/>
                <w:color w:val="auto"/>
                <w:spacing w:val="0"/>
                <w:sz w:val="28"/>
                <w:szCs w:val="28"/>
                <w:shd w:val="clear" w:color="auto" w:fill="FFFFFF"/>
                <w:lang w:eastAsia="zh-CN"/>
              </w:rPr>
              <w:t>遵义市科技馆目前共有工作人员</w:t>
            </w:r>
            <w:r>
              <w:rPr>
                <w:rFonts w:hint="eastAsia" w:ascii="仿宋_GB2312" w:hAnsi="仿宋_GB2312" w:eastAsia="仿宋_GB2312" w:cs="仿宋_GB2312"/>
                <w:b w:val="0"/>
                <w:bCs w:val="0"/>
                <w:i w:val="0"/>
                <w:iCs w:val="0"/>
                <w:caps w:val="0"/>
                <w:color w:val="auto"/>
                <w:spacing w:val="0"/>
                <w:sz w:val="28"/>
                <w:szCs w:val="28"/>
                <w:shd w:val="clear" w:color="auto" w:fill="FFFFFF"/>
                <w:lang w:val="en-US" w:eastAsia="zh-CN"/>
              </w:rPr>
              <w:t>31人，其中专业讲解人员15人，科普兼职人员16人。</w:t>
            </w:r>
            <w:r>
              <w:rPr>
                <w:rFonts w:hint="eastAsia" w:ascii="仿宋_GB2312" w:hAnsi="仿宋_GB2312" w:eastAsia="仿宋_GB2312" w:cs="仿宋_GB2312"/>
                <w:b w:val="0"/>
                <w:bCs w:val="0"/>
                <w:i w:val="0"/>
                <w:iCs w:val="0"/>
                <w:caps w:val="0"/>
                <w:color w:val="auto"/>
                <w:spacing w:val="0"/>
                <w:sz w:val="28"/>
                <w:szCs w:val="28"/>
                <w:shd w:val="clear" w:color="auto" w:fill="FFFFFF"/>
                <w:lang w:eastAsia="zh-CN"/>
              </w:rPr>
              <w:t>遵义市</w:t>
            </w:r>
            <w:r>
              <w:rPr>
                <w:rFonts w:hint="eastAsia" w:ascii="仿宋_GB2312" w:hAnsi="仿宋_GB2312" w:eastAsia="仿宋_GB2312" w:cs="仿宋_GB2312"/>
                <w:b w:val="0"/>
                <w:bCs w:val="0"/>
                <w:i w:val="0"/>
                <w:iCs w:val="0"/>
                <w:caps w:val="0"/>
                <w:color w:val="auto"/>
                <w:spacing w:val="0"/>
                <w:sz w:val="28"/>
                <w:szCs w:val="28"/>
                <w:shd w:val="clear" w:color="auto" w:fill="FFFFFF"/>
              </w:rPr>
              <w:t>科技馆充分利用展品展项，对公众进行科学知识普及，开展各种形式科普教育活动，提高群众对科学的认知和兴趣，获得良好的社会效应。</w:t>
            </w:r>
          </w:p>
        </w:tc>
      </w:tr>
      <w:tr>
        <w:tblPrEx>
          <w:tblCellMar>
            <w:top w:w="0" w:type="dxa"/>
            <w:left w:w="108" w:type="dxa"/>
            <w:bottom w:w="0" w:type="dxa"/>
            <w:right w:w="108" w:type="dxa"/>
          </w:tblCellMar>
        </w:tblPrEx>
        <w:trPr>
          <w:trHeight w:val="6127" w:hRule="atLeast"/>
          <w:jc w:val="center"/>
        </w:trPr>
        <w:tc>
          <w:tcPr>
            <w:tcW w:w="972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工作概况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开展的科普工作、科普活动</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lang w:val="en-US" w:eastAsia="zh-CN"/>
              </w:rPr>
              <w:t>2023年工作计划</w:t>
            </w:r>
            <w:r>
              <w:rPr>
                <w:rFonts w:hint="eastAsia" w:ascii="仿宋_GB2312" w:hAnsi="仿宋_GB2312" w:eastAsia="仿宋_GB2312" w:cs="仿宋_GB2312"/>
                <w:sz w:val="28"/>
                <w:szCs w:val="28"/>
              </w:rPr>
              <w:t>，可另纸说明。）</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遵义市科技馆</w:t>
            </w:r>
            <w:r>
              <w:rPr>
                <w:rFonts w:hint="eastAsia" w:ascii="仿宋_GB2312" w:eastAsia="仿宋_GB2312"/>
                <w:sz w:val="28"/>
                <w:szCs w:val="28"/>
              </w:rPr>
              <w:t>充分利用常设展厅、科普大篷车等公益平台开展科普活动，发挥</w:t>
            </w:r>
            <w:r>
              <w:rPr>
                <w:rFonts w:hint="eastAsia" w:ascii="仿宋_GB2312" w:eastAsia="仿宋_GB2312"/>
                <w:sz w:val="28"/>
                <w:szCs w:val="28"/>
                <w:lang w:val="en-US" w:eastAsia="zh-CN"/>
              </w:rPr>
              <w:t>好科技馆</w:t>
            </w:r>
            <w:r>
              <w:rPr>
                <w:rFonts w:hint="eastAsia" w:ascii="仿宋_GB2312" w:eastAsia="仿宋_GB2312"/>
                <w:sz w:val="28"/>
                <w:szCs w:val="28"/>
              </w:rPr>
              <w:t>科普主阵地作用，取得了良好的社会效益。</w:t>
            </w:r>
            <w:r>
              <w:rPr>
                <w:rFonts w:hint="eastAsia" w:ascii="仿宋_GB2312" w:eastAsia="仿宋_GB2312"/>
                <w:sz w:val="28"/>
                <w:szCs w:val="28"/>
                <w:lang w:val="en-US" w:eastAsia="zh-CN"/>
              </w:rPr>
              <w:t>现将一年来遵义市科技馆科普工作总结如下。</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一、</w:t>
            </w:r>
            <w:r>
              <w:rPr>
                <w:rFonts w:hint="eastAsia" w:ascii="仿宋_GB2312" w:eastAsia="仿宋_GB2312"/>
                <w:sz w:val="28"/>
                <w:szCs w:val="28"/>
              </w:rPr>
              <w:t>立足公益，展教并重。常设展厅继续对观众免费开放，在稳定运行基础上日益突出教育效能，运营理念逐步向“展教并重”转变。</w:t>
            </w:r>
            <w:r>
              <w:rPr>
                <w:rFonts w:hint="eastAsia" w:ascii="仿宋_GB2312" w:eastAsia="仿宋_GB2312"/>
                <w:sz w:val="28"/>
                <w:szCs w:val="28"/>
                <w:lang w:val="en-US" w:eastAsia="zh-CN"/>
              </w:rPr>
              <w:t>2022年</w:t>
            </w:r>
            <w:r>
              <w:rPr>
                <w:rFonts w:hint="eastAsia" w:ascii="仿宋_GB2312" w:eastAsia="仿宋_GB2312"/>
                <w:sz w:val="28"/>
                <w:szCs w:val="28"/>
              </w:rPr>
              <w:t>共组织青少年科普活动</w:t>
            </w:r>
            <w:r>
              <w:rPr>
                <w:rFonts w:hint="eastAsia" w:ascii="仿宋_GB2312" w:eastAsia="仿宋_GB2312"/>
                <w:sz w:val="28"/>
                <w:szCs w:val="28"/>
                <w:lang w:val="en-US" w:eastAsia="zh-CN"/>
              </w:rPr>
              <w:t>53</w:t>
            </w:r>
            <w:r>
              <w:rPr>
                <w:rFonts w:hint="eastAsia" w:ascii="仿宋_GB2312" w:eastAsia="仿宋_GB2312"/>
                <w:sz w:val="28"/>
                <w:szCs w:val="28"/>
              </w:rPr>
              <w:t>次，科学表演80次，深受学生、家长、媒体的好评。共接待观众</w:t>
            </w:r>
            <w:r>
              <w:rPr>
                <w:rFonts w:hint="eastAsia" w:ascii="仿宋_GB2312" w:eastAsia="仿宋_GB2312"/>
                <w:sz w:val="28"/>
                <w:szCs w:val="28"/>
                <w:lang w:val="en-US" w:eastAsia="zh-CN"/>
              </w:rPr>
              <w:t>约9.93万</w:t>
            </w:r>
            <w:r>
              <w:rPr>
                <w:rFonts w:hint="eastAsia" w:ascii="仿宋_GB2312" w:eastAsia="仿宋_GB2312"/>
                <w:sz w:val="28"/>
                <w:szCs w:val="28"/>
              </w:rPr>
              <w:t>人。</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bCs/>
                <w:sz w:val="28"/>
                <w:szCs w:val="28"/>
                <w:u w:val="none" w:color="FF0000"/>
              </w:rPr>
            </w:pPr>
            <w:r>
              <w:rPr>
                <w:rFonts w:hint="eastAsia" w:ascii="仿宋_GB2312" w:eastAsia="仿宋_GB2312"/>
                <w:sz w:val="28"/>
                <w:szCs w:val="28"/>
                <w:lang w:val="en-US" w:eastAsia="zh-CN"/>
              </w:rPr>
              <w:t>二、</w:t>
            </w:r>
            <w:r>
              <w:rPr>
                <w:rFonts w:hint="eastAsia" w:ascii="仿宋_GB2312" w:eastAsia="仿宋_GB2312"/>
                <w:bCs/>
                <w:sz w:val="28"/>
                <w:szCs w:val="28"/>
                <w:u w:val="none" w:color="FF0000"/>
              </w:rPr>
              <w:t>结合“双减”政策，加强馆校、馆馆合作，发挥好遵义市科技馆研学基地职能。</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440" w:lineRule="exact"/>
              <w:ind w:left="0" w:leftChars="0" w:right="0" w:rightChars="0" w:firstLine="560" w:firstLineChars="200"/>
              <w:textAlignment w:val="auto"/>
              <w:outlineLvl w:val="9"/>
              <w:rPr>
                <w:rFonts w:hint="eastAsia" w:ascii="仿宋_GB2312" w:eastAsia="仿宋_GB2312"/>
                <w:kern w:val="2"/>
                <w:sz w:val="28"/>
                <w:szCs w:val="28"/>
                <w:u w:val="none" w:color="FF0000"/>
              </w:rPr>
            </w:pPr>
            <w:r>
              <w:rPr>
                <w:rFonts w:hint="eastAsia" w:ascii="仿宋_GB2312" w:eastAsia="仿宋_GB2312"/>
                <w:sz w:val="28"/>
                <w:szCs w:val="28"/>
              </w:rPr>
              <w:t>1.</w:t>
            </w:r>
            <w:r>
              <w:rPr>
                <w:rFonts w:hint="eastAsia" w:ascii="仿宋_GB2312" w:eastAsia="仿宋_GB2312"/>
                <w:kern w:val="2"/>
                <w:sz w:val="28"/>
                <w:szCs w:val="28"/>
                <w:u w:val="none" w:color="FF0000"/>
              </w:rPr>
              <w:t xml:space="preserve"> 4月与幸福小学合作开展馆校活动</w:t>
            </w:r>
            <w:r>
              <w:rPr>
                <w:rFonts w:hint="eastAsia" w:ascii="仿宋_GB2312" w:eastAsia="仿宋_GB2312"/>
                <w:bCs/>
                <w:color w:val="000000"/>
                <w:sz w:val="28"/>
                <w:szCs w:val="28"/>
              </w:rPr>
              <w:t>“科普筑未来-研学小课堂”</w:t>
            </w:r>
            <w:r>
              <w:rPr>
                <w:rFonts w:hint="eastAsia" w:ascii="仿宋_GB2312" w:eastAsia="仿宋_GB2312"/>
                <w:kern w:val="2"/>
                <w:sz w:val="28"/>
                <w:szCs w:val="28"/>
                <w:u w:val="none" w:color="FF0000"/>
              </w:rPr>
              <w:t>，接待学生70人，5月与</w:t>
            </w:r>
            <w:r>
              <w:rPr>
                <w:rFonts w:hint="eastAsia" w:ascii="仿宋_GB2312" w:eastAsia="仿宋_GB2312"/>
                <w:sz w:val="28"/>
                <w:szCs w:val="28"/>
              </w:rPr>
              <w:t>新蒲新区文化小学开展2022年科技节闭幕式活动，全校共计966余名师生参与了此次活动。</w:t>
            </w:r>
            <w:r>
              <w:rPr>
                <w:rFonts w:hint="eastAsia" w:ascii="仿宋_GB2312" w:eastAsia="仿宋_GB2312"/>
                <w:kern w:val="2"/>
                <w:sz w:val="28"/>
                <w:szCs w:val="28"/>
              </w:rPr>
              <w:t>通过研学课堂理论和手工制作及现场实践等环节，采用寓教于乐方式，让同学们在乐中学，学中乐的氛围中轻松达到学有所获。</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2.我馆和红花岗区新时代文明实践中心、红花岗区科学技术协会、巷口镇人民政府、巷口镇中心学校于2022年6月16日共同举办首届科技节暨科普大篷车进校园活动。</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3.为进一步落实立德树人新任务和新要求，营造关心关爱少年儿童的良好氛围，切实为留守儿童做好事办实事，5月22日与青少年文化宫共同开展“情暖童心-筑梦未来”关爱留守儿童研学实践活动，为汇川区新黔小学40余名留守儿童提供义务讲解服务及免费观看4D影院。</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u w:val="none" w:color="FF0000"/>
              </w:rPr>
            </w:pPr>
            <w:r>
              <w:rPr>
                <w:rFonts w:hint="eastAsia" w:ascii="仿宋_GB2312" w:eastAsia="仿宋_GB2312"/>
                <w:sz w:val="28"/>
                <w:szCs w:val="28"/>
                <w:lang w:val="en-US" w:eastAsia="zh-CN"/>
              </w:rPr>
              <w:t>三、</w:t>
            </w:r>
            <w:r>
              <w:rPr>
                <w:rFonts w:hint="eastAsia" w:ascii="仿宋_GB2312" w:eastAsia="仿宋_GB2312"/>
                <w:sz w:val="28"/>
                <w:szCs w:val="28"/>
              </w:rPr>
              <w:t>以科普大篷车为载体，不断创新科普宣传形式，提高广大公众的科学素质。一年来，我馆以科普大篷车为抓手，发挥科普大篷车流动科技馆功能，将科技馆带到了校园共计11次，受众约为12100人次，赢得了广大师生的好评和认可。</w:t>
            </w:r>
          </w:p>
          <w:p>
            <w:pPr>
              <w:keepNext w:val="0"/>
              <w:keepLines w:val="0"/>
              <w:pageBreakBefore w:val="0"/>
              <w:kinsoku/>
              <w:wordWrap/>
              <w:overflowPunct/>
              <w:topLinePunct w:val="0"/>
              <w:autoSpaceDN/>
              <w:bidi w:val="0"/>
              <w:adjustRightInd/>
              <w:snapToGrid/>
              <w:spacing w:line="440" w:lineRule="exact"/>
              <w:ind w:left="0" w:leftChars="0" w:right="0" w:rightChars="0"/>
              <w:textAlignment w:val="auto"/>
              <w:outlineLvl w:val="9"/>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lang w:val="en-US" w:eastAsia="zh-CN"/>
              </w:rPr>
              <w:t>四</w:t>
            </w:r>
            <w:r>
              <w:rPr>
                <w:rFonts w:hint="eastAsia" w:ascii="仿宋_GB2312" w:hAnsi="宋体" w:eastAsia="仿宋_GB2312"/>
                <w:sz w:val="28"/>
                <w:szCs w:val="28"/>
              </w:rPr>
              <w:t>、</w:t>
            </w:r>
            <w:r>
              <w:rPr>
                <w:rFonts w:hint="eastAsia" w:ascii="仿宋_GB2312" w:eastAsia="仿宋_GB2312"/>
                <w:sz w:val="28"/>
                <w:szCs w:val="28"/>
              </w:rPr>
              <w:t>积极参与完成其他工作</w:t>
            </w:r>
            <w:r>
              <w:rPr>
                <w:rFonts w:hint="eastAsia" w:ascii="仿宋_GB2312" w:eastAsia="仿宋_GB2312"/>
                <w:sz w:val="28"/>
                <w:szCs w:val="28"/>
                <w:lang w:eastAsia="zh-CN"/>
              </w:rPr>
              <w:t>。</w:t>
            </w:r>
          </w:p>
          <w:p>
            <w:pPr>
              <w:keepNext w:val="0"/>
              <w:keepLines w:val="0"/>
              <w:pageBreakBefore w:val="0"/>
              <w:kinsoku/>
              <w:wordWrap/>
              <w:overflowPunct/>
              <w:topLinePunct w:val="0"/>
              <w:autoSpaceDE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bCs/>
                <w:sz w:val="28"/>
                <w:szCs w:val="28"/>
              </w:rPr>
            </w:pPr>
            <w:r>
              <w:rPr>
                <w:rFonts w:hint="eastAsia" w:ascii="仿宋_GB2312" w:eastAsia="仿宋_GB2312"/>
                <w:bCs/>
                <w:sz w:val="28"/>
                <w:szCs w:val="28"/>
              </w:rPr>
              <w:t xml:space="preserve"> 1.承办</w:t>
            </w:r>
            <w:r>
              <w:rPr>
                <w:rFonts w:hint="eastAsia" w:ascii="仿宋_GB2312" w:eastAsia="仿宋_GB2312"/>
                <w:bCs/>
                <w:sz w:val="28"/>
                <w:szCs w:val="28"/>
                <w:lang w:val="en-US" w:eastAsia="zh-CN"/>
              </w:rPr>
              <w:t>了</w:t>
            </w:r>
            <w:r>
              <w:rPr>
                <w:rFonts w:hint="eastAsia" w:ascii="仿宋_GB2312" w:eastAsia="仿宋_GB2312"/>
                <w:bCs/>
                <w:sz w:val="28"/>
                <w:szCs w:val="28"/>
              </w:rPr>
              <w:t>2022年遵义市青少年科技创新大赛。11月4日-6日市科技馆承办了遵义市青少年科技创新大赛终评答辩活动，经专家评审，评选出青少年科技创新成果竞赛项目一等奖35项，二等奖49项，三等奖59项;科技辅导员创新成果竞赛项目一等奖23项，二等奖27项，三等奖37项。31个项目作品的科技辅导老师获评优秀指导老师奖，绥阳县等6个县(市、区）获评优秀组织奖。</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hAnsi="宋体" w:eastAsia="仿宋_GB2312"/>
                <w:sz w:val="28"/>
                <w:szCs w:val="28"/>
              </w:rPr>
            </w:pPr>
            <w:r>
              <w:rPr>
                <w:rFonts w:hint="eastAsia" w:ascii="仿宋_GB2312" w:eastAsia="仿宋_GB2312"/>
                <w:bCs/>
                <w:sz w:val="28"/>
                <w:szCs w:val="28"/>
              </w:rPr>
              <w:t>2.</w:t>
            </w:r>
            <w:r>
              <w:rPr>
                <w:rFonts w:hint="eastAsia" w:ascii="仿宋_GB2312" w:hAnsi="宋体" w:eastAsia="仿宋_GB2312"/>
                <w:sz w:val="28"/>
                <w:szCs w:val="28"/>
              </w:rPr>
              <w:t xml:space="preserve"> 举办了遵义市青少年科技辅导教师能力提升班培训工作。8月，遵义市青少年科技辅导教师提升班在遵义师范学院学术交流中心举办，学员由各县（市、区）、市直属学校从2020-2021年获得市级青少年科技创新大赛一等奖、省级青少年科技创新大赛奖项的科技辅导教师中择优推荐。此次培训采取了线上线下相结合的方式，共有300余人参与了线上培训课程。通过培训，极大地提升了我市青少年科技辅导教师的业务能力，为进一步开展好全市青少年科技创新活动夯实了基础。</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eastAsia="仿宋_GB2312"/>
                <w:sz w:val="28"/>
                <w:szCs w:val="28"/>
              </w:rPr>
              <w:t>成功举办了2022年</w:t>
            </w:r>
            <w:r>
              <w:rPr>
                <w:rFonts w:hint="eastAsia" w:ascii="仿宋_GB2312" w:hAnsi="宋体" w:eastAsia="仿宋_GB2312"/>
                <w:sz w:val="28"/>
                <w:szCs w:val="28"/>
              </w:rPr>
              <w:t>“环球自然日”青少年自然科学知识挑战赛遵义赛区决赛。本次决赛共有</w:t>
            </w:r>
            <w:r>
              <w:rPr>
                <w:rFonts w:hint="eastAsia" w:ascii="仿宋_GB2312" w:eastAsia="仿宋_GB2312" w:cs="Calibri"/>
                <w:sz w:val="28"/>
                <w:szCs w:val="28"/>
              </w:rPr>
              <w:t>184</w:t>
            </w:r>
            <w:r>
              <w:rPr>
                <w:rFonts w:hint="eastAsia" w:ascii="仿宋_GB2312" w:hAnsi="宋体" w:eastAsia="仿宋_GB2312"/>
                <w:sz w:val="28"/>
                <w:szCs w:val="28"/>
              </w:rPr>
              <w:t>支优秀队伍进入决赛，其中科普绘画类</w:t>
            </w:r>
            <w:r>
              <w:rPr>
                <w:rFonts w:hint="eastAsia" w:ascii="仿宋_GB2312" w:eastAsia="仿宋_GB2312" w:cs="Calibri"/>
                <w:sz w:val="28"/>
                <w:szCs w:val="28"/>
              </w:rPr>
              <w:t>10</w:t>
            </w:r>
            <w:r>
              <w:rPr>
                <w:rFonts w:hint="eastAsia" w:ascii="仿宋_GB2312" w:hAnsi="宋体" w:eastAsia="仿宋_GB2312"/>
                <w:sz w:val="28"/>
                <w:szCs w:val="28"/>
              </w:rPr>
              <w:t>支队伍获一等奖、</w:t>
            </w:r>
            <w:r>
              <w:rPr>
                <w:rFonts w:hint="eastAsia" w:ascii="仿宋_GB2312" w:eastAsia="仿宋_GB2312" w:cs="Calibri"/>
                <w:sz w:val="28"/>
                <w:szCs w:val="28"/>
              </w:rPr>
              <w:t>27</w:t>
            </w:r>
            <w:r>
              <w:rPr>
                <w:rFonts w:hint="eastAsia" w:ascii="仿宋_GB2312" w:hAnsi="宋体" w:eastAsia="仿宋_GB2312"/>
                <w:sz w:val="28"/>
                <w:szCs w:val="28"/>
              </w:rPr>
              <w:t>支队伍获二等奖、</w:t>
            </w:r>
            <w:r>
              <w:rPr>
                <w:rFonts w:hint="eastAsia" w:ascii="仿宋_GB2312" w:eastAsia="仿宋_GB2312" w:cs="Calibri"/>
                <w:sz w:val="28"/>
                <w:szCs w:val="28"/>
              </w:rPr>
              <w:t>43</w:t>
            </w:r>
            <w:r>
              <w:rPr>
                <w:rFonts w:hint="eastAsia" w:ascii="仿宋_GB2312" w:hAnsi="宋体" w:eastAsia="仿宋_GB2312"/>
                <w:sz w:val="28"/>
                <w:szCs w:val="28"/>
              </w:rPr>
              <w:t>支队伍获三等奖。故事播讲类</w:t>
            </w:r>
            <w:r>
              <w:rPr>
                <w:rFonts w:hint="eastAsia" w:ascii="仿宋_GB2312" w:eastAsia="仿宋_GB2312" w:cs="Calibri"/>
                <w:sz w:val="28"/>
                <w:szCs w:val="28"/>
              </w:rPr>
              <w:t>10</w:t>
            </w:r>
            <w:r>
              <w:rPr>
                <w:rFonts w:hint="eastAsia" w:ascii="仿宋_GB2312" w:hAnsi="宋体" w:eastAsia="仿宋_GB2312"/>
                <w:sz w:val="28"/>
                <w:szCs w:val="28"/>
              </w:rPr>
              <w:t>支队伍获一等奖、</w:t>
            </w:r>
            <w:r>
              <w:rPr>
                <w:rFonts w:hint="eastAsia" w:ascii="仿宋_GB2312" w:eastAsia="仿宋_GB2312" w:cs="Calibri"/>
                <w:sz w:val="28"/>
                <w:szCs w:val="28"/>
              </w:rPr>
              <w:t>30</w:t>
            </w:r>
            <w:r>
              <w:rPr>
                <w:rFonts w:hint="eastAsia" w:ascii="仿宋_GB2312" w:hAnsi="宋体" w:eastAsia="仿宋_GB2312"/>
                <w:sz w:val="28"/>
                <w:szCs w:val="28"/>
              </w:rPr>
              <w:t>支队伍获二等奖、</w:t>
            </w:r>
            <w:r>
              <w:rPr>
                <w:rFonts w:hint="eastAsia" w:ascii="仿宋_GB2312" w:eastAsia="仿宋_GB2312" w:cs="Calibri"/>
                <w:sz w:val="28"/>
                <w:szCs w:val="28"/>
              </w:rPr>
              <w:t>44</w:t>
            </w:r>
            <w:r>
              <w:rPr>
                <w:rFonts w:hint="eastAsia" w:ascii="仿宋_GB2312" w:hAnsi="宋体" w:eastAsia="仿宋_GB2312"/>
                <w:sz w:val="28"/>
                <w:szCs w:val="28"/>
              </w:rPr>
              <w:t>支队伍获三等奖、</w:t>
            </w:r>
            <w:r>
              <w:rPr>
                <w:rFonts w:hint="eastAsia" w:ascii="仿宋_GB2312" w:eastAsia="仿宋_GB2312" w:cs="Calibri"/>
                <w:sz w:val="28"/>
                <w:szCs w:val="28"/>
              </w:rPr>
              <w:t>1</w:t>
            </w:r>
            <w:r>
              <w:rPr>
                <w:rFonts w:hint="eastAsia" w:ascii="仿宋_GB2312" w:hAnsi="宋体" w:eastAsia="仿宋_GB2312"/>
                <w:sz w:val="28"/>
                <w:szCs w:val="28"/>
              </w:rPr>
              <w:t>支队伍获优秀奖</w:t>
            </w:r>
            <w:r>
              <w:rPr>
                <w:rFonts w:hint="eastAsia" w:ascii="仿宋_GB2312" w:eastAsia="仿宋_GB2312" w:cs="Calibri"/>
                <w:sz w:val="28"/>
                <w:szCs w:val="28"/>
              </w:rPr>
              <w:t>.</w:t>
            </w:r>
            <w:r>
              <w:rPr>
                <w:rFonts w:hint="eastAsia" w:ascii="仿宋_GB2312" w:hAnsi="宋体" w:eastAsia="仿宋_GB2312"/>
                <w:sz w:val="28"/>
                <w:szCs w:val="28"/>
              </w:rPr>
              <w:t>获一等奖的</w:t>
            </w:r>
            <w:r>
              <w:rPr>
                <w:rFonts w:hint="eastAsia" w:ascii="仿宋_GB2312" w:eastAsia="仿宋_GB2312" w:cs="Calibri"/>
                <w:sz w:val="28"/>
                <w:szCs w:val="28"/>
              </w:rPr>
              <w:t>20</w:t>
            </w:r>
            <w:r>
              <w:rPr>
                <w:rFonts w:hint="eastAsia" w:ascii="仿宋_GB2312" w:hAnsi="宋体" w:eastAsia="仿宋_GB2312"/>
                <w:sz w:val="28"/>
                <w:szCs w:val="28"/>
              </w:rPr>
              <w:t>支队伍参加了</w:t>
            </w:r>
            <w:r>
              <w:rPr>
                <w:rFonts w:hint="eastAsia" w:ascii="仿宋_GB2312" w:eastAsia="仿宋_GB2312" w:cs="Calibri"/>
                <w:sz w:val="28"/>
                <w:szCs w:val="28"/>
              </w:rPr>
              <w:t>2021</w:t>
            </w:r>
            <w:r>
              <w:rPr>
                <w:rFonts w:hint="eastAsia" w:ascii="仿宋_GB2312" w:hAnsi="宋体" w:eastAsia="仿宋_GB2312"/>
                <w:sz w:val="28"/>
                <w:szCs w:val="28"/>
              </w:rPr>
              <w:t>环球自然日年度总决赛</w:t>
            </w:r>
            <w:r>
              <w:rPr>
                <w:rFonts w:hint="eastAsia" w:ascii="仿宋_GB2312" w:eastAsia="仿宋_GB2312" w:cs="Calibri"/>
                <w:sz w:val="28"/>
                <w:szCs w:val="28"/>
              </w:rPr>
              <w:t>。</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hAnsi="宋体" w:eastAsia="仿宋_GB2312"/>
                <w:sz w:val="28"/>
                <w:szCs w:val="28"/>
              </w:rPr>
            </w:pPr>
            <w:r>
              <w:rPr>
                <w:rFonts w:hint="eastAsia" w:ascii="仿宋_GB2312" w:eastAsia="仿宋_GB2312" w:cs="Calibri"/>
                <w:sz w:val="28"/>
                <w:szCs w:val="28"/>
              </w:rPr>
              <w:t>8月</w:t>
            </w:r>
            <w:r>
              <w:rPr>
                <w:rFonts w:hint="eastAsia" w:ascii="仿宋_GB2312" w:hAnsi="宋体" w:eastAsia="仿宋_GB2312"/>
                <w:sz w:val="28"/>
                <w:szCs w:val="28"/>
              </w:rPr>
              <w:t>，受疫情影响，环球自然日总决赛以线上在线方式视频连线、在线问辨方式举办。本年度总决赛遵义赛区共获</w:t>
            </w:r>
            <w:r>
              <w:rPr>
                <w:rFonts w:hint="eastAsia" w:ascii="仿宋_GB2312" w:eastAsia="仿宋_GB2312" w:cs="Calibri"/>
                <w:sz w:val="28"/>
                <w:szCs w:val="28"/>
              </w:rPr>
              <w:t>3</w:t>
            </w:r>
            <w:r>
              <w:rPr>
                <w:rFonts w:hint="eastAsia" w:ascii="仿宋_GB2312" w:hAnsi="宋体" w:eastAsia="仿宋_GB2312"/>
                <w:sz w:val="28"/>
                <w:szCs w:val="28"/>
              </w:rPr>
              <w:t>个一等奖、</w:t>
            </w:r>
            <w:r>
              <w:rPr>
                <w:rFonts w:hint="eastAsia" w:ascii="仿宋_GB2312" w:eastAsia="仿宋_GB2312" w:cs="Calibri"/>
                <w:sz w:val="28"/>
                <w:szCs w:val="28"/>
              </w:rPr>
              <w:t>5</w:t>
            </w:r>
            <w:r>
              <w:rPr>
                <w:rFonts w:hint="eastAsia" w:ascii="仿宋_GB2312" w:hAnsi="宋体" w:eastAsia="仿宋_GB2312"/>
                <w:sz w:val="28"/>
                <w:szCs w:val="28"/>
              </w:rPr>
              <w:t>个二等奖、</w:t>
            </w:r>
            <w:r>
              <w:rPr>
                <w:rFonts w:hint="eastAsia" w:ascii="仿宋_GB2312" w:eastAsia="仿宋_GB2312" w:cs="Calibri"/>
                <w:sz w:val="28"/>
                <w:szCs w:val="28"/>
              </w:rPr>
              <w:t>8</w:t>
            </w:r>
            <w:r>
              <w:rPr>
                <w:rFonts w:hint="eastAsia" w:ascii="仿宋_GB2312" w:hAnsi="宋体" w:eastAsia="仿宋_GB2312"/>
                <w:sz w:val="28"/>
                <w:szCs w:val="28"/>
              </w:rPr>
              <w:t>个三等奖。其中科普绘画类获</w:t>
            </w:r>
            <w:r>
              <w:rPr>
                <w:rFonts w:hint="eastAsia" w:ascii="仿宋_GB2312" w:eastAsia="仿宋_GB2312" w:cs="Calibri"/>
                <w:sz w:val="28"/>
                <w:szCs w:val="28"/>
              </w:rPr>
              <w:t>3</w:t>
            </w:r>
            <w:r>
              <w:rPr>
                <w:rFonts w:hint="eastAsia" w:ascii="仿宋_GB2312" w:hAnsi="宋体" w:eastAsia="仿宋_GB2312"/>
                <w:sz w:val="28"/>
                <w:szCs w:val="28"/>
              </w:rPr>
              <w:t>个一等奖、</w:t>
            </w:r>
            <w:r>
              <w:rPr>
                <w:rFonts w:hint="eastAsia" w:ascii="仿宋_GB2312" w:eastAsia="仿宋_GB2312" w:cs="Calibri"/>
                <w:sz w:val="28"/>
                <w:szCs w:val="28"/>
              </w:rPr>
              <w:t>1</w:t>
            </w:r>
            <w:r>
              <w:rPr>
                <w:rFonts w:hint="eastAsia" w:ascii="仿宋_GB2312" w:hAnsi="宋体" w:eastAsia="仿宋_GB2312"/>
                <w:sz w:val="28"/>
                <w:szCs w:val="28"/>
              </w:rPr>
              <w:t>个二等奖、</w:t>
            </w:r>
            <w:r>
              <w:rPr>
                <w:rFonts w:hint="eastAsia" w:ascii="仿宋_GB2312" w:eastAsia="仿宋_GB2312" w:cs="Calibri"/>
                <w:sz w:val="28"/>
                <w:szCs w:val="28"/>
              </w:rPr>
              <w:t>2</w:t>
            </w:r>
            <w:r>
              <w:rPr>
                <w:rFonts w:hint="eastAsia" w:ascii="仿宋_GB2312" w:hAnsi="宋体" w:eastAsia="仿宋_GB2312"/>
                <w:sz w:val="28"/>
                <w:szCs w:val="28"/>
              </w:rPr>
              <w:t>个三等奖。故事播讲类获</w:t>
            </w:r>
            <w:r>
              <w:rPr>
                <w:rFonts w:hint="eastAsia" w:ascii="仿宋_GB2312" w:eastAsia="仿宋_GB2312" w:cs="Calibri"/>
                <w:sz w:val="28"/>
                <w:szCs w:val="28"/>
              </w:rPr>
              <w:t>4</w:t>
            </w:r>
            <w:r>
              <w:rPr>
                <w:rFonts w:hint="eastAsia" w:ascii="仿宋_GB2312" w:hAnsi="宋体" w:eastAsia="仿宋_GB2312"/>
                <w:sz w:val="28"/>
                <w:szCs w:val="28"/>
              </w:rPr>
              <w:t>个二等奖、</w:t>
            </w:r>
            <w:r>
              <w:rPr>
                <w:rFonts w:hint="eastAsia" w:ascii="仿宋_GB2312" w:eastAsia="仿宋_GB2312" w:cs="Calibri"/>
                <w:sz w:val="28"/>
                <w:szCs w:val="28"/>
              </w:rPr>
              <w:t>6</w:t>
            </w:r>
            <w:r>
              <w:rPr>
                <w:rFonts w:hint="eastAsia" w:ascii="仿宋_GB2312" w:hAnsi="宋体" w:eastAsia="仿宋_GB2312"/>
                <w:sz w:val="28"/>
                <w:szCs w:val="28"/>
              </w:rPr>
              <w:t>个三等奖。</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五</w:t>
            </w:r>
            <w:bookmarkStart w:id="0" w:name="_GoBack"/>
            <w:bookmarkEnd w:id="0"/>
            <w:r>
              <w:rPr>
                <w:rFonts w:hint="eastAsia" w:ascii="仿宋_GB2312" w:eastAsia="仿宋_GB2312"/>
                <w:sz w:val="28"/>
                <w:szCs w:val="28"/>
                <w:lang w:val="en-US" w:eastAsia="zh-CN"/>
              </w:rPr>
              <w:t>、</w:t>
            </w:r>
            <w:r>
              <w:rPr>
                <w:rFonts w:hint="eastAsia" w:ascii="仿宋_GB2312" w:eastAsia="仿宋_GB2312"/>
                <w:sz w:val="28"/>
                <w:szCs w:val="28"/>
                <w:lang w:eastAsia="zh-CN"/>
              </w:rPr>
              <w:t>下步</w:t>
            </w:r>
            <w:r>
              <w:rPr>
                <w:rFonts w:hint="eastAsia" w:ascii="仿宋_GB2312" w:eastAsia="仿宋_GB2312"/>
                <w:sz w:val="28"/>
                <w:szCs w:val="28"/>
              </w:rPr>
              <w:t>工作打算</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eastAsia="仿宋_GB2312"/>
                <w:sz w:val="28"/>
                <w:szCs w:val="28"/>
              </w:rPr>
              <w:t>（一）</w:t>
            </w:r>
            <w:r>
              <w:rPr>
                <w:rFonts w:hint="eastAsia" w:ascii="仿宋_GB2312" w:eastAsia="仿宋_GB2312"/>
                <w:sz w:val="28"/>
                <w:szCs w:val="28"/>
                <w:lang w:eastAsia="zh-CN"/>
              </w:rPr>
              <w:t>继续做好展厅科普活动工作，优化服务措施，进一步提升服务质量，吸进更多观众到馆参观，争取到</w:t>
            </w:r>
            <w:r>
              <w:rPr>
                <w:rFonts w:hint="eastAsia" w:ascii="仿宋_GB2312" w:eastAsia="仿宋_GB2312"/>
                <w:sz w:val="28"/>
                <w:szCs w:val="28"/>
                <w:lang w:val="en-US" w:eastAsia="zh-CN"/>
              </w:rPr>
              <w:t>2025年</w:t>
            </w:r>
            <w:r>
              <w:rPr>
                <w:rFonts w:hint="eastAsia" w:ascii="仿宋_GB2312" w:hAnsi="仿宋_GB2312" w:eastAsia="仿宋_GB2312" w:cs="仿宋_GB2312"/>
                <w:sz w:val="28"/>
                <w:szCs w:val="28"/>
                <w:lang w:eastAsia="zh-CN"/>
              </w:rPr>
              <w:t>参观人数达到</w:t>
            </w:r>
            <w:r>
              <w:rPr>
                <w:rFonts w:hint="eastAsia" w:ascii="仿宋_GB2312" w:hAnsi="仿宋_GB2312" w:eastAsia="仿宋_GB2312" w:cs="仿宋_GB2312"/>
                <w:sz w:val="28"/>
                <w:szCs w:val="28"/>
                <w:lang w:val="en-US" w:eastAsia="zh-CN"/>
              </w:rPr>
              <w:t>200万；预计到2035年参观人数突破350万。</w:t>
            </w:r>
          </w:p>
          <w:p>
            <w:pPr>
              <w:keepNext w:val="0"/>
              <w:keepLines w:val="0"/>
              <w:pageBreakBefore w:val="0"/>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hAnsi="宋体" w:eastAsia="仿宋_GB2312"/>
                <w:sz w:val="28"/>
                <w:szCs w:val="28"/>
                <w:lang w:eastAsia="zh-CN"/>
              </w:rPr>
            </w:pPr>
            <w:r>
              <w:rPr>
                <w:rFonts w:hint="eastAsia" w:ascii="仿宋_GB2312" w:eastAsia="仿宋_GB2312"/>
                <w:sz w:val="28"/>
                <w:szCs w:val="28"/>
              </w:rPr>
              <w:t>（二）继续组织好2023年</w:t>
            </w:r>
            <w:r>
              <w:rPr>
                <w:rFonts w:hint="eastAsia" w:ascii="仿宋_GB2312" w:hAnsi="宋体" w:eastAsia="仿宋_GB2312"/>
                <w:sz w:val="28"/>
                <w:szCs w:val="28"/>
              </w:rPr>
              <w:t>“环球自然日”青少年自然科学知识挑战赛遵义赛区赛事</w:t>
            </w:r>
            <w:r>
              <w:rPr>
                <w:rFonts w:hint="eastAsia" w:ascii="仿宋_GB2312" w:hAnsi="宋体" w:eastAsia="仿宋_GB2312"/>
                <w:sz w:val="28"/>
                <w:szCs w:val="28"/>
                <w:lang w:eastAsia="zh-CN"/>
              </w:rPr>
              <w:t>。</w:t>
            </w:r>
          </w:p>
          <w:p>
            <w:pPr>
              <w:keepNext w:val="0"/>
              <w:keepLines w:val="0"/>
              <w:pageBreakBefore w:val="0"/>
              <w:numPr>
                <w:ilvl w:val="0"/>
                <w:numId w:val="1"/>
              </w:numPr>
              <w:kinsoku/>
              <w:wordWrap/>
              <w:overflowPunct/>
              <w:topLinePunct w:val="0"/>
              <w:autoSpaceDN/>
              <w:bidi w:val="0"/>
              <w:adjustRightInd/>
              <w:snapToGrid/>
              <w:spacing w:line="44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继续开展好青少年科技创新大赛。认真组织好全市优秀作品参加贵州省青少年科技创新大赛，同时承办好遵义市青少年科技创新大赛。</w:t>
            </w:r>
          </w:p>
          <w:p>
            <w:pPr>
              <w:keepNext w:val="0"/>
              <w:keepLines w:val="0"/>
              <w:pageBreakBefore w:val="0"/>
              <w:kinsoku/>
              <w:wordWrap/>
              <w:overflowPunct/>
              <w:topLinePunct w:val="0"/>
              <w:autoSpaceDN/>
              <w:bidi w:val="0"/>
              <w:adjustRightInd/>
              <w:snapToGrid/>
              <w:spacing w:line="440" w:lineRule="exact"/>
              <w:ind w:left="0" w:leftChars="0" w:right="0" w:rightChars="0"/>
              <w:textAlignment w:val="auto"/>
              <w:outlineLvl w:val="9"/>
              <w:rPr>
                <w:rFonts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28"/>
                <w:szCs w:val="28"/>
                <w:lang w:val="en-US" w:eastAsia="zh-CN"/>
              </w:rPr>
              <w:t>四</w:t>
            </w:r>
            <w:r>
              <w:rPr>
                <w:rFonts w:hint="eastAsia" w:ascii="仿宋_GB2312" w:eastAsia="仿宋_GB2312"/>
                <w:sz w:val="28"/>
                <w:szCs w:val="28"/>
              </w:rPr>
              <w:t>）继续做好科普大篷车巡展工作。明年市科技馆将积极与社区乡镇学校联系，把科学知识带到村镇，提升大家的科学素养。</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087" w:hRule="atLeast"/>
          <w:jc w:val="center"/>
        </w:trPr>
        <w:tc>
          <w:tcPr>
            <w:tcW w:w="972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其他有关材料：（</w:t>
            </w:r>
            <w:r>
              <w:rPr>
                <w:rFonts w:hint="eastAsia" w:ascii="仿宋_GB2312" w:hAnsi="仿宋_GB2312" w:eastAsia="仿宋_GB2312" w:cs="仿宋_GB2312"/>
                <w:sz w:val="28"/>
                <w:szCs w:val="28"/>
                <w:lang w:eastAsia="zh-CN"/>
              </w:rPr>
              <w:t>获奖情况、亮点工作</w:t>
            </w:r>
            <w:r>
              <w:rPr>
                <w:rFonts w:hint="eastAsia" w:ascii="仿宋_GB2312" w:hAnsi="仿宋_GB2312" w:eastAsia="仿宋_GB2312" w:cs="仿宋_GB2312"/>
                <w:sz w:val="28"/>
                <w:szCs w:val="28"/>
              </w:rPr>
              <w:t>等）</w:t>
            </w:r>
          </w:p>
          <w:p>
            <w:pPr>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2022年，遵义市科技馆为加强未成年人思想道德建设，全年组织开展了以“小小”命名的系列活动，包含了“小小讲解员”“小小古生物家”“小小营养师”“小小植物学家”“小小飞行员”“小小发明家”等，共计53次。这些活动孩子们都积极参与，兴趣十足，既收获了知识也增长了见识。</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bl>
    <w:p>
      <w:pPr>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2AF38"/>
    <w:multiLevelType w:val="singleLevel"/>
    <w:tmpl w:val="EB52AF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jE1NDE4YzY2MzIyNmE5MjczZWI2ZTdkMmM2NzQifQ=="/>
  </w:docVars>
  <w:rsids>
    <w:rsidRoot w:val="149573B6"/>
    <w:rsid w:val="0AD61B81"/>
    <w:rsid w:val="149573B6"/>
    <w:rsid w:val="2AEC7295"/>
    <w:rsid w:val="34F6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2319</Words>
  <Characters>2506</Characters>
  <Lines>0</Lines>
  <Paragraphs>0</Paragraphs>
  <TotalTime>89</TotalTime>
  <ScaleCrop>false</ScaleCrop>
  <LinksUpToDate>false</LinksUpToDate>
  <CharactersWithSpaces>2535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2023-01-05T04:30:00Z</dcterms:created>
  <dc:creator>小鲁</dc:creator>
  <cp:lastModifiedBy>小鲁</cp:lastModifiedBy>
  <dcterms:modified xsi:type="dcterms:W3CDTF">2023-01-05T07:10:58Z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198489074E754DFAA8549376D49EFF40</vt:lpwstr>
  </property>
</Properties>
</file>